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12" w:rsidRPr="00292712" w:rsidRDefault="00292712" w:rsidP="00292712">
      <w:pPr>
        <w:pStyle w:val="s1"/>
        <w:shd w:val="clear" w:color="auto" w:fill="FFFFFF"/>
        <w:spacing w:before="0" w:beforeAutospacing="0" w:after="300" w:afterAutospacing="0"/>
        <w:jc w:val="center"/>
        <w:rPr>
          <w:b/>
        </w:rPr>
      </w:pPr>
      <w:r w:rsidRPr="00292712">
        <w:rPr>
          <w:b/>
        </w:rPr>
        <w:t xml:space="preserve">Порядок отнесения объектов контроля в </w:t>
      </w:r>
      <w:r>
        <w:rPr>
          <w:b/>
        </w:rPr>
        <w:t xml:space="preserve">области охраны и использования </w:t>
      </w:r>
      <w:r w:rsidRPr="00292712">
        <w:rPr>
          <w:b/>
        </w:rPr>
        <w:t>особо о</w:t>
      </w:r>
      <w:r>
        <w:rPr>
          <w:b/>
        </w:rPr>
        <w:t>храняемых природных территорий</w:t>
      </w:r>
      <w:r w:rsidRPr="00292712">
        <w:rPr>
          <w:b/>
        </w:rPr>
        <w:t xml:space="preserve"> </w:t>
      </w:r>
      <w:bookmarkStart w:id="0" w:name="_GoBack"/>
      <w:bookmarkEnd w:id="0"/>
      <w:r w:rsidRPr="00292712">
        <w:rPr>
          <w:b/>
        </w:rPr>
        <w:t>к категориям риска</w:t>
      </w:r>
    </w:p>
    <w:p w:rsidR="00292712" w:rsidRPr="00292712" w:rsidRDefault="00292712" w:rsidP="00292712">
      <w:pPr>
        <w:pStyle w:val="s1"/>
        <w:shd w:val="clear" w:color="auto" w:fill="FFFFFF"/>
        <w:spacing w:before="0" w:beforeAutospacing="0" w:after="300" w:afterAutospacing="0"/>
        <w:jc w:val="center"/>
      </w:pPr>
      <w:r w:rsidRPr="00292712">
        <w:t>Постановление Правительства РФ от 30 июня 2021 г. N 1090</w:t>
      </w:r>
      <w:r w:rsidRPr="00292712">
        <w:br/>
        <w:t>"О федеральном государственном контроле (надзоре) в области охраны и использования особо охраняемых природных территорий"</w:t>
      </w:r>
      <w:r w:rsidR="006F2305">
        <w:t>:</w:t>
      </w:r>
    </w:p>
    <w:p w:rsidR="00292712" w:rsidRPr="00292712" w:rsidRDefault="00292712" w:rsidP="00292712">
      <w:pPr>
        <w:pStyle w:val="s1"/>
        <w:shd w:val="clear" w:color="auto" w:fill="FFFFFF"/>
        <w:spacing w:before="0" w:beforeAutospacing="0" w:after="300" w:afterAutospacing="0"/>
      </w:pPr>
      <w:r w:rsidRPr="00292712">
        <w:t>11. Федеральная служба по надзору в сфере природопользования (ее территориальные органы) и федеральные государственные бюджетные учреждения, осуществляющие надзор в отношении управляемых ими особо охраняемых природных территорий федерального значения и их охранных зон (далее - надзорные органы), для целей управления рисками причинения вреда (ущерба) при осуществлении плановых контрольных (надзорных) мероприятий относят объекты государственного надзора к одной из следующих категорий риска причинения вреда (ущерба) (далее - категории риска):</w:t>
      </w:r>
    </w:p>
    <w:p w:rsidR="00292712" w:rsidRP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а) чрезвычайно высокий риск;</w:t>
      </w:r>
    </w:p>
    <w:p w:rsidR="00292712" w:rsidRP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б) высокий риск;</w:t>
      </w:r>
    </w:p>
    <w:p w:rsidR="00292712" w:rsidRP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в) значительный риск;</w:t>
      </w:r>
    </w:p>
    <w:p w:rsidR="00292712" w:rsidRP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г) средний риск;</w:t>
      </w:r>
    </w:p>
    <w:p w:rsidR="00292712" w:rsidRP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д) умеренный риск;</w:t>
      </w:r>
    </w:p>
    <w:p w:rsid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е) низкий риск.</w:t>
      </w:r>
    </w:p>
    <w:p w:rsidR="00944496" w:rsidRPr="00292712" w:rsidRDefault="00944496" w:rsidP="00944496">
      <w:pPr>
        <w:pStyle w:val="s1"/>
        <w:shd w:val="clear" w:color="auto" w:fill="FFFFFF"/>
        <w:spacing w:before="0" w:beforeAutospacing="0" w:after="120" w:afterAutospacing="0"/>
      </w:pPr>
    </w:p>
    <w:p w:rsidR="00292712" w:rsidRPr="00292712" w:rsidRDefault="00292712" w:rsidP="00292712">
      <w:pPr>
        <w:pStyle w:val="s1"/>
        <w:shd w:val="clear" w:color="auto" w:fill="FFFFFF"/>
        <w:spacing w:before="0" w:beforeAutospacing="0" w:after="300" w:afterAutospacing="0"/>
      </w:pPr>
      <w:r w:rsidRPr="00292712">
        <w:t>12. Объекты государственного надзора относятся к следующим категориям риска:</w:t>
      </w:r>
    </w:p>
    <w:p w:rsidR="00292712" w:rsidRP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а) категория значительного риска - деятельность граждан и организаций в границах государственных природных заповедников и национальных парков;</w:t>
      </w:r>
    </w:p>
    <w:p w:rsidR="00292712" w:rsidRP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б) категория среднего риска - деятельность граждан и организаций в границах:</w:t>
      </w:r>
    </w:p>
    <w:p w:rsidR="00292712" w:rsidRP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охранных зон государственных природных заповедников;</w:t>
      </w:r>
    </w:p>
    <w:p w:rsidR="00292712" w:rsidRP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охранных зон национальных парков;</w:t>
      </w:r>
    </w:p>
    <w:p w:rsidR="00292712" w:rsidRP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государственных природных заказников;</w:t>
      </w:r>
    </w:p>
    <w:p w:rsidR="00292712" w:rsidRP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памятников природы;</w:t>
      </w:r>
    </w:p>
    <w:p w:rsidR="00292712" w:rsidRP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дендрологических парков и ботанических садов;</w:t>
      </w:r>
    </w:p>
    <w:p w:rsidR="00292712" w:rsidRP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в) категория низкого риска - деятельность граждан и организаций в границах:</w:t>
      </w:r>
    </w:p>
    <w:p w:rsidR="00292712" w:rsidRP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охранных зон природных парков;</w:t>
      </w:r>
    </w:p>
    <w:p w:rsidR="00292712" w:rsidRDefault="00292712" w:rsidP="00944496">
      <w:pPr>
        <w:pStyle w:val="s1"/>
        <w:shd w:val="clear" w:color="auto" w:fill="FFFFFF"/>
        <w:spacing w:before="0" w:beforeAutospacing="0" w:after="120" w:afterAutospacing="0"/>
      </w:pPr>
      <w:r w:rsidRPr="00292712">
        <w:t>охранных зон памятников природы.</w:t>
      </w:r>
    </w:p>
    <w:p w:rsidR="00944496" w:rsidRPr="00292712" w:rsidRDefault="00944496" w:rsidP="00944496">
      <w:pPr>
        <w:pStyle w:val="s1"/>
        <w:shd w:val="clear" w:color="auto" w:fill="FFFFFF"/>
        <w:spacing w:before="0" w:beforeAutospacing="0" w:after="120" w:afterAutospacing="0"/>
      </w:pPr>
    </w:p>
    <w:p w:rsidR="00292712" w:rsidRPr="00292712" w:rsidRDefault="00292712" w:rsidP="00292712">
      <w:pPr>
        <w:pStyle w:val="s1"/>
        <w:shd w:val="clear" w:color="auto" w:fill="FFFFFF"/>
        <w:spacing w:before="0" w:beforeAutospacing="0" w:after="0" w:afterAutospacing="0"/>
      </w:pPr>
      <w:r w:rsidRPr="00292712">
        <w:t>14. Объекты государственного надзора, отнесенные в соответствии с </w:t>
      </w:r>
      <w:hyperlink r:id="rId4" w:anchor="block_1011" w:history="1">
        <w:r w:rsidRPr="00292712">
          <w:rPr>
            <w:rStyle w:val="a3"/>
            <w:color w:val="auto"/>
            <w:u w:val="none"/>
          </w:rPr>
          <w:t>пунктами 11</w:t>
        </w:r>
      </w:hyperlink>
      <w:r w:rsidRPr="00292712">
        <w:t> и </w:t>
      </w:r>
      <w:hyperlink r:id="rId5" w:anchor="block_1012" w:history="1">
        <w:r w:rsidRPr="00292712">
          <w:rPr>
            <w:rStyle w:val="a3"/>
            <w:color w:val="auto"/>
            <w:u w:val="none"/>
          </w:rPr>
          <w:t>12</w:t>
        </w:r>
      </w:hyperlink>
      <w:r w:rsidRPr="00292712">
        <w:t> настоящего Положения к категориям высокого риска, значительного риска, среднего риска, умеренного риска, низкого риска, подлежат отнесению к категориям чрезвычайно высокого риска, высокого риска, значительного риска, среднего риска, умеренного риска соответственно при наличии одного из следующих решений, вступивших в законную силу в течение 3 лет, предшествующих дате принятия решения об отнесении объекта государственного надзора к категории риска:</w:t>
      </w:r>
    </w:p>
    <w:p w:rsidR="00292712" w:rsidRPr="00292712" w:rsidRDefault="00292712" w:rsidP="00292712">
      <w:pPr>
        <w:pStyle w:val="s1"/>
        <w:shd w:val="clear" w:color="auto" w:fill="FFFFFF"/>
        <w:spacing w:before="0" w:beforeAutospacing="0" w:after="0" w:afterAutospacing="0"/>
      </w:pPr>
      <w:r w:rsidRPr="00292712">
        <w:lastRenderedPageBreak/>
        <w:t>а) 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лицам, индивидуальному предпринимателю, гражданину за совершение на особо охраняемых природных территориях либо в их охранных зонах административного правонарушения, предусмотренного статьями Кодекса Российской Федерации об административных правонарушениях, указанными в </w:t>
      </w:r>
      <w:hyperlink r:id="rId6" w:anchor="block_232501" w:history="1">
        <w:r w:rsidRPr="00292712">
          <w:rPr>
            <w:rStyle w:val="a3"/>
            <w:color w:val="auto"/>
            <w:u w:val="none"/>
          </w:rPr>
          <w:t>части 1 статьи 23.25</w:t>
        </w:r>
      </w:hyperlink>
      <w:r w:rsidRPr="00292712">
        <w:t> Кодекса Российской Федерации об административных правонарушениях, вынесенного должностными лицами надзорного органа или судом на основании протокола об административном правонарушении, составленного должностными лицами надзорного органа;</w:t>
      </w:r>
    </w:p>
    <w:p w:rsidR="00292712" w:rsidRDefault="00292712" w:rsidP="00292712">
      <w:pPr>
        <w:pStyle w:val="s1"/>
        <w:shd w:val="clear" w:color="auto" w:fill="FFFFFF"/>
        <w:spacing w:before="0" w:beforeAutospacing="0" w:after="0" w:afterAutospacing="0"/>
      </w:pPr>
      <w:r w:rsidRPr="00292712">
        <w:t>б) обвинительный приговор, предусматривающий признание должностного лица организации, индивидуального предпринимателя или гражданина виновным в совершении преступления, предусмотренного </w:t>
      </w:r>
      <w:hyperlink r:id="rId7" w:anchor="block_250" w:history="1">
        <w:r w:rsidRPr="00292712">
          <w:rPr>
            <w:rStyle w:val="a3"/>
            <w:color w:val="auto"/>
            <w:u w:val="none"/>
          </w:rPr>
          <w:t>статьями 250 - 252</w:t>
        </w:r>
      </w:hyperlink>
      <w:r w:rsidRPr="00292712">
        <w:t>, </w:t>
      </w:r>
      <w:hyperlink r:id="rId8" w:anchor="block_254" w:history="1">
        <w:r w:rsidRPr="00292712">
          <w:rPr>
            <w:rStyle w:val="a3"/>
            <w:color w:val="auto"/>
            <w:u w:val="none"/>
          </w:rPr>
          <w:t>254 - 262</w:t>
        </w:r>
      </w:hyperlink>
      <w:r w:rsidRPr="00292712">
        <w:t> Уголовного кодекса Российской Федерации.</w:t>
      </w:r>
    </w:p>
    <w:p w:rsidR="00944496" w:rsidRPr="00292712" w:rsidRDefault="00944496" w:rsidP="00292712">
      <w:pPr>
        <w:pStyle w:val="s1"/>
        <w:shd w:val="clear" w:color="auto" w:fill="FFFFFF"/>
        <w:spacing w:before="0" w:beforeAutospacing="0" w:after="0" w:afterAutospacing="0"/>
      </w:pPr>
    </w:p>
    <w:p w:rsidR="00292712" w:rsidRDefault="00292712" w:rsidP="00292712">
      <w:pPr>
        <w:pStyle w:val="s1"/>
        <w:shd w:val="clear" w:color="auto" w:fill="FFFFFF"/>
        <w:spacing w:before="0" w:beforeAutospacing="0" w:after="0" w:afterAutospacing="0"/>
      </w:pPr>
      <w:r w:rsidRPr="00292712">
        <w:t>15. Объекты государственного надзора, отнесенные в соответствии с </w:t>
      </w:r>
      <w:hyperlink r:id="rId9" w:anchor="block_1141" w:history="1">
        <w:r w:rsidRPr="00292712">
          <w:rPr>
            <w:rStyle w:val="a3"/>
            <w:color w:val="auto"/>
            <w:u w:val="none"/>
          </w:rPr>
          <w:t>подпунктом "а" пункта 14</w:t>
        </w:r>
      </w:hyperlink>
      <w:r w:rsidRPr="00292712">
        <w:t> настоящего Положения к категориям чрезвычайно высокого риска, высокого риска, значительного риска, среднего риска, умеренного риска, подлежат отнесению к категориям высокого риска, значительного риска, среднего риска, умеренного риска, низкого риска соответственно после устранения в установленный срок выявленного нарушения обязательных требований, подтвержденного результатами контрольного (надзорного) мероприятия.</w:t>
      </w:r>
    </w:p>
    <w:p w:rsidR="00944496" w:rsidRPr="00292712" w:rsidRDefault="00944496" w:rsidP="00292712">
      <w:pPr>
        <w:pStyle w:val="s1"/>
        <w:shd w:val="clear" w:color="auto" w:fill="FFFFFF"/>
        <w:spacing w:before="0" w:beforeAutospacing="0" w:after="0" w:afterAutospacing="0"/>
      </w:pPr>
    </w:p>
    <w:p w:rsidR="00292712" w:rsidRPr="00292712" w:rsidRDefault="00292712" w:rsidP="00292712">
      <w:pPr>
        <w:pStyle w:val="s1"/>
        <w:shd w:val="clear" w:color="auto" w:fill="FFFFFF"/>
        <w:spacing w:before="0" w:beforeAutospacing="0" w:after="0" w:afterAutospacing="0"/>
      </w:pPr>
      <w:r w:rsidRPr="00292712">
        <w:t>16. Объекты государственного надзора, отнесенные в соответствии с </w:t>
      </w:r>
      <w:hyperlink r:id="rId10" w:anchor="block_1011" w:history="1">
        <w:r w:rsidRPr="00292712">
          <w:rPr>
            <w:rStyle w:val="a3"/>
            <w:color w:val="auto"/>
            <w:u w:val="none"/>
          </w:rPr>
          <w:t>пунктами 11</w:t>
        </w:r>
      </w:hyperlink>
      <w:r w:rsidRPr="00292712">
        <w:t> и </w:t>
      </w:r>
      <w:hyperlink r:id="rId11" w:anchor="block_1012" w:history="1">
        <w:r w:rsidRPr="00292712">
          <w:rPr>
            <w:rStyle w:val="a3"/>
            <w:color w:val="auto"/>
            <w:u w:val="none"/>
          </w:rPr>
          <w:t>12</w:t>
        </w:r>
      </w:hyperlink>
      <w:r w:rsidRPr="00292712">
        <w:t> настоящего Положения к категориям высокого риска, значительного риска, среднего риска, умеренного риска, подлежат отнесению к категориям значительного риска, среднего риска, умеренного риска, низкого риска соответственно при отсутствии в течение 3 лет, предшествующих дате принятия решения об отнесении объекта к категории риска, вступивших в законную силу решений, предусмотренных </w:t>
      </w:r>
      <w:hyperlink r:id="rId12" w:anchor="block_1014" w:history="1">
        <w:r w:rsidRPr="00292712">
          <w:rPr>
            <w:rStyle w:val="a3"/>
            <w:color w:val="auto"/>
            <w:u w:val="none"/>
          </w:rPr>
          <w:t>пунктом 14</w:t>
        </w:r>
      </w:hyperlink>
      <w:r w:rsidRPr="00292712">
        <w:t> настоящего Положения, и одновременном соблюдении требований </w:t>
      </w:r>
      <w:hyperlink r:id="rId13" w:anchor="block_1" w:history="1">
        <w:r w:rsidRPr="00292712">
          <w:rPr>
            <w:rStyle w:val="a3"/>
            <w:color w:val="auto"/>
            <w:u w:val="none"/>
          </w:rPr>
          <w:t>законодательства</w:t>
        </w:r>
      </w:hyperlink>
      <w:r w:rsidRPr="00292712">
        <w:t> об особо охраняемых природных территориях и в области охраны окружающей среды.</w:t>
      </w:r>
    </w:p>
    <w:p w:rsidR="00F1012E" w:rsidRPr="00292712" w:rsidRDefault="00F1012E" w:rsidP="00292712"/>
    <w:sectPr w:rsidR="00F1012E" w:rsidRPr="0029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12"/>
    <w:rsid w:val="000A45A9"/>
    <w:rsid w:val="00292712"/>
    <w:rsid w:val="006F2305"/>
    <w:rsid w:val="00944496"/>
    <w:rsid w:val="00F1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921B-2835-4FC3-AC99-1B09C150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9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2712"/>
    <w:rPr>
      <w:color w:val="0000FF"/>
      <w:u w:val="single"/>
    </w:rPr>
  </w:style>
  <w:style w:type="paragraph" w:customStyle="1" w:styleId="Default">
    <w:name w:val="Default"/>
    <w:rsid w:val="0029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4a0924b314e13e2e1778ae697505c9b3/" TargetMode="External"/><Relationship Id="rId13" Type="http://schemas.openxmlformats.org/officeDocument/2006/relationships/hyperlink" Target="https://base.garant.ru/10107990/1cafb24d049dcd1e7707a22d98e9858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0108000/90ac765ac9bb123905d63534062a6022/" TargetMode="External"/><Relationship Id="rId12" Type="http://schemas.openxmlformats.org/officeDocument/2006/relationships/hyperlink" Target="https://base.garant.ru/401432062/9ea64a0346e739417a2998542c16680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25267/1ac3d552130e64ab7a057c5330ec1886/" TargetMode="External"/><Relationship Id="rId11" Type="http://schemas.openxmlformats.org/officeDocument/2006/relationships/hyperlink" Target="https://base.garant.ru/401432062/9ea64a0346e739417a2998542c16680e/" TargetMode="External"/><Relationship Id="rId5" Type="http://schemas.openxmlformats.org/officeDocument/2006/relationships/hyperlink" Target="https://base.garant.ru/401432062/9ea64a0346e739417a2998542c16680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1432062/9ea64a0346e739417a2998542c16680e/" TargetMode="External"/><Relationship Id="rId4" Type="http://schemas.openxmlformats.org/officeDocument/2006/relationships/hyperlink" Target="https://base.garant.ru/401432062/9ea64a0346e739417a2998542c16680e/" TargetMode="External"/><Relationship Id="rId9" Type="http://schemas.openxmlformats.org/officeDocument/2006/relationships/hyperlink" Target="https://base.garant.ru/401432062/9ea64a0346e739417a2998542c16680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777</Words>
  <Characters>4434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2023-02-10T07:43:00Z</dcterms:created>
  <dcterms:modified xsi:type="dcterms:W3CDTF">2023-02-10T08:03:00Z</dcterms:modified>
</cp:coreProperties>
</file>